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+*xfs*pvs*lsu*cvA*xBj*tds*dwj*yxi*ctk*CcE*pBk*-</w:t>
            </w:r>
            <w:r>
              <w:rPr>
                <w:rFonts w:ascii="PDF417x" w:hAnsi="PDF417x"/>
                <w:sz w:val="24"/>
                <w:szCs w:val="24"/>
              </w:rPr>
              <w:br/>
              <w:t>+*yqw*BjB*Ddz*ywu*ugB*dzb*Adx*ubr*vrm*jus*zew*-</w:t>
            </w:r>
            <w:r>
              <w:rPr>
                <w:rFonts w:ascii="PDF417x" w:hAnsi="PDF417x"/>
                <w:sz w:val="24"/>
                <w:szCs w:val="24"/>
              </w:rPr>
              <w:br/>
              <w:t>+*eDs*lyd*lyd*lyd*lyd*ovy*Bvb*Dkn*ikg*zFo*zfE*-</w:t>
            </w:r>
            <w:r>
              <w:rPr>
                <w:rFonts w:ascii="PDF417x" w:hAnsi="PDF417x"/>
                <w:sz w:val="24"/>
                <w:szCs w:val="24"/>
              </w:rPr>
              <w:br/>
              <w:t>+*ftw*vqD*ggc*Bib*voE*ogi*nCc*nvl*oED*Dak*onA*-</w:t>
            </w:r>
            <w:r>
              <w:rPr>
                <w:rFonts w:ascii="PDF417x" w:hAnsi="PDF417x"/>
                <w:sz w:val="24"/>
                <w:szCs w:val="24"/>
              </w:rPr>
              <w:br/>
              <w:t>+*ftA*yih*xvo*BDu*uDE*sFo*wdE*xlm*wvn*Alx*uws*-</w:t>
            </w:r>
            <w:r>
              <w:rPr>
                <w:rFonts w:ascii="PDF417x" w:hAnsi="PDF417x"/>
                <w:sz w:val="24"/>
                <w:szCs w:val="24"/>
              </w:rPr>
              <w:br/>
              <w:t>+*xjq*qEy*ahw*lui*mfw*ikg*bAf*Ayo*zhu*qFw*uzq*-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AA78142" w14:textId="0B5E849B" w:rsidR="00B92D0F" w:rsidRPr="00B92D0F" w:rsidRDefault="00B92D0F" w:rsidP="009568BF">
      <w:pPr>
        <w:jc w:val="both"/>
        <w:rPr>
          <w:rFonts w:eastAsia="Times New Roman" w:cs="Times New Roman"/>
          <w:noProof w:val="0"/>
        </w:rPr>
      </w:pPr>
      <w:r w:rsidRPr="00B92D0F">
        <w:rPr>
          <w:rFonts w:eastAsia="Times New Roman" w:cs="Times New Roman"/>
        </w:rPr>
        <w:drawing>
          <wp:anchor distT="0" distB="0" distL="114300" distR="114300" simplePos="0" relativeHeight="251674624" behindDoc="0" locked="0" layoutInCell="1" allowOverlap="1" wp14:anchorId="7A02E439" wp14:editId="0881E1D8">
            <wp:simplePos x="0" y="0"/>
            <wp:positionH relativeFrom="column">
              <wp:posOffset>597535</wp:posOffset>
            </wp:positionH>
            <wp:positionV relativeFrom="paragraph">
              <wp:posOffset>7196</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89EFD" w14:textId="5C443A09" w:rsidR="009568BF" w:rsidRPr="00531FBC" w:rsidRDefault="00D707B3" w:rsidP="009568BF">
      <w:pPr>
        <w:rPr>
          <w:b/>
        </w:rPr>
      </w:pPr>
      <w:r>
        <w:rPr>
          <w:b/>
          <w:lang w:eastAsia="hr-HR"/>
        </w:rPr>
        <mc:AlternateContent>
          <mc:Choice Requires="wps">
            <w:drawing>
              <wp:anchor distT="0" distB="0" distL="114300" distR="114300" simplePos="0" relativeHeight="251672576" behindDoc="0" locked="1" layoutInCell="1" allowOverlap="1" wp14:anchorId="6E6A168A" wp14:editId="4B6E29BE">
                <wp:simplePos x="0" y="0"/>
                <wp:positionH relativeFrom="page">
                  <wp:posOffset>-304800</wp:posOffset>
                </wp:positionH>
                <wp:positionV relativeFrom="page">
                  <wp:posOffset>9267825</wp:posOffset>
                </wp:positionV>
                <wp:extent cx="409575" cy="101473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957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24pt;margin-top:729.75pt;width:32.25pt;height:79.9pt;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3xEgIAAAAEAAAOAAAAZHJzL2Uyb0RvYy54bWysU9uO0zAQfUfiHyy/06SlZbdR09XSpYC0&#10;XKSFD3Acp7FwPGbsNilfz9gpbbW8IfxgeTzjMzNnjld3Q2fYQaHXYEs+neScKSuh1nZX8u/ftq9u&#10;OfNB2FoYsKrkR+X53frli1XvCjWDFkytkBGI9UXvSt6G4Ios87JVnfATcMqSswHsRCATd1mNoif0&#10;zmSzPH+T9YC1Q5DKe7p9GJ18nfCbRsnwpWm8CsyUnGoLace0V3HP1itR7FC4VstTGeIfquiEtpT0&#10;DPUggmB71H9BdVoieGjCREKXQdNoqVIP1M00f9bNUyucSr0QOd6dafL/D1Z+Pjy5r8jC8BYGGmBq&#10;wrtHkD88s7Bphd2pe0ToWyVqSjyNlGW988XpaaTaFz6CVP0nqGnIYh8gAQ0Ndqwx2n34A00dM8pD&#10;ozie6VdDYJIu5/lycbPgTJJrmk/nN6/TfDJRRJzIrkMf3ivoWDyUHGm8KY84PPoQ67qExHAPRtdb&#10;bUwycFdtDLKDICls00qtPAszlvUlXy5mi4RsIb5PKul0IKka3ZX8No9rFE/k5Z2tU0gQ2oxnqsTY&#10;E1GRm5GlMFQDBUbCKqiPRBnCKEn6QnRoAX9x1pMcS+5/7gUqzsxHS7Qvp/N51G8y5oubGRl47amu&#10;PcJKgip54Gw8bkLSfOTBwj2Np9GJr0slp1pJZonG05eIOr62U9Tl465/AwAA//8DAFBLAwQUAAYA&#10;CAAAACEAZA7UquEAAAAMAQAADwAAAGRycy9kb3ducmV2LnhtbEyPQU+DQBCF7yb+h82YeDHt0lpI&#10;QZbGGOu9aGy9bWEEIjuL7JZif73DSU8vk/fy5nvpZjStGLB3jSUFi3kAAqmwZUOVgrfX7WwNwnlN&#10;pW4toYIfdLDJrq9SnZT2TDsccl8JLiGXaAW1910ipStqNNrNbYfE3qftjfZ89pUse33mctPKZRBE&#10;0uiG+EOtO3yqsfjKT0bBZT/k34eP3fL9bhv7MbQv0eXZKHV7Mz4+gPA4+r8wTPiMDhkzHe2JSida&#10;BbPVmrd4NlZhHIKYIhHrcdJFfA8yS+X/EdkvAAAA//8DAFBLAQItABQABgAIAAAAIQC2gziS/gAA&#10;AOEBAAATAAAAAAAAAAAAAAAAAAAAAABbQ29udGVudF9UeXBlc10ueG1sUEsBAi0AFAAGAAgAAAAh&#10;ADj9If/WAAAAlAEAAAsAAAAAAAAAAAAAAAAALwEAAF9yZWxzLy5yZWxzUEsBAi0AFAAGAAgAAAAh&#10;AFjqTfESAgAAAAQAAA4AAAAAAAAAAAAAAAAALgIAAGRycy9lMm9Eb2MueG1sUEsBAi0AFAAGAAgA&#10;AAAhAGQO1KrhAAAADAEAAA8AAAAAAAAAAAAAAAAAbAQAAGRycy9kb3ducmV2LnhtbFBLBQYAAAAA&#10;BAAEAPMAAAB6BQAAAAA=&#10;" stroked="f">
                <v:textbox>
                  <w:txbxContent>
                    <w:p w14:paraId="76EF94CE" w14:textId="77777777" w:rsidR="008A562A" w:rsidRDefault="008A562A">
                      <w:pPr>
                        <w:contextualSpacing/>
                      </w:pPr>
                    </w:p>
                  </w:txbxContent>
                </v:textbox>
                <w10:wrap anchorx="page" anchory="page"/>
                <w10:anchorlock/>
              </v:shape>
            </w:pict>
          </mc:Fallback>
        </mc:AlternateContent>
      </w:r>
    </w:p>
    <w:p w14:paraId="7D82A884" w14:textId="6AB84672" w:rsidR="009568BF" w:rsidRDefault="009568BF" w:rsidP="009568BF"/>
    <w:p w14:paraId="3D355C96" w14:textId="34DA3BDF" w:rsidR="009568BF" w:rsidRPr="00531FBC" w:rsidRDefault="00531FBC" w:rsidP="00531FBC">
      <w:pPr>
        <w:rPr>
          <w:rFonts w:ascii="Times New Roman" w:hAnsi="Times New Roman" w:cs="Times New Roman"/>
          <w:sz w:val="24"/>
          <w:szCs w:val="24"/>
        </w:rPr>
      </w:pPr>
      <w:r w:rsidRPr="00531FBC">
        <w:rPr>
          <w:rFonts w:ascii="Times New Roman" w:hAnsi="Times New Roman" w:cs="Times New Roman"/>
          <w:sz w:val="24"/>
          <w:szCs w:val="24"/>
        </w:rPr>
        <w:t xml:space="preserve">  </w:t>
      </w:r>
      <w:r w:rsidR="009568BF" w:rsidRPr="00531FBC">
        <w:rPr>
          <w:rFonts w:ascii="Times New Roman" w:hAnsi="Times New Roman" w:cs="Times New Roman"/>
          <w:sz w:val="24"/>
          <w:szCs w:val="24"/>
        </w:rPr>
        <w:t xml:space="preserve"> REPUBLIKA HRVATSKA</w:t>
      </w:r>
    </w:p>
    <w:p w14:paraId="432DA9C7" w14:textId="77777777" w:rsidR="009568BF" w:rsidRPr="00531FBC" w:rsidRDefault="009568BF" w:rsidP="00531FBC">
      <w:pPr>
        <w:rPr>
          <w:rFonts w:ascii="Times New Roman" w:hAnsi="Times New Roman" w:cs="Times New Roman"/>
          <w:sz w:val="24"/>
          <w:szCs w:val="24"/>
        </w:rPr>
      </w:pPr>
      <w:r w:rsidRPr="00531FBC">
        <w:rPr>
          <w:rFonts w:ascii="Times New Roman" w:hAnsi="Times New Roman" w:cs="Times New Roman"/>
          <w:sz w:val="24"/>
          <w:szCs w:val="24"/>
        </w:rPr>
        <w:t>LIČKO-SENJSKA ŽUPANIJA</w:t>
      </w:r>
    </w:p>
    <w:p w14:paraId="43134D06" w14:textId="70043AB4" w:rsidR="009568BF" w:rsidRPr="00531FBC" w:rsidRDefault="00531FBC" w:rsidP="00531FBC">
      <w:pPr>
        <w:rPr>
          <w:rFonts w:ascii="Times New Roman" w:hAnsi="Times New Roman" w:cs="Times New Roman"/>
          <w:sz w:val="24"/>
          <w:szCs w:val="24"/>
        </w:rPr>
      </w:pPr>
      <w:r w:rsidRPr="00531FBC">
        <w:rPr>
          <w:rFonts w:ascii="Times New Roman" w:hAnsi="Times New Roman" w:cs="Times New Roman"/>
          <w:sz w:val="24"/>
          <w:szCs w:val="24"/>
        </w:rPr>
        <w:t xml:space="preserve">     </w:t>
      </w:r>
      <w:r w:rsidR="009568BF" w:rsidRPr="00531FBC">
        <w:rPr>
          <w:rFonts w:ascii="Times New Roman" w:hAnsi="Times New Roman" w:cs="Times New Roman"/>
          <w:sz w:val="24"/>
          <w:szCs w:val="24"/>
        </w:rPr>
        <w:t>GRAD OTOČAC</w:t>
      </w:r>
      <w:r w:rsidR="009568BF" w:rsidRPr="00531FBC">
        <w:rPr>
          <w:rFonts w:ascii="Times New Roman" w:hAnsi="Times New Roman" w:cs="Times New Roman"/>
          <w:sz w:val="24"/>
          <w:szCs w:val="24"/>
        </w:rPr>
        <w:tab/>
      </w:r>
      <w:r w:rsidR="009568BF" w:rsidRPr="00531FBC">
        <w:rPr>
          <w:rFonts w:ascii="Times New Roman" w:hAnsi="Times New Roman" w:cs="Times New Roman"/>
          <w:sz w:val="24"/>
          <w:szCs w:val="24"/>
        </w:rPr>
        <w:tab/>
      </w:r>
      <w:r w:rsidR="009568BF" w:rsidRPr="00531FBC">
        <w:rPr>
          <w:rFonts w:ascii="Times New Roman" w:hAnsi="Times New Roman" w:cs="Times New Roman"/>
          <w:sz w:val="24"/>
          <w:szCs w:val="24"/>
        </w:rPr>
        <w:tab/>
      </w:r>
    </w:p>
    <w:p w14:paraId="567EC4DB" w14:textId="77777777" w:rsidR="009568BF" w:rsidRPr="00531FBC" w:rsidRDefault="009568BF" w:rsidP="00531FBC">
      <w:pPr>
        <w:rPr>
          <w:rFonts w:ascii="Times New Roman" w:hAnsi="Times New Roman" w:cs="Times New Roman"/>
          <w:sz w:val="24"/>
          <w:szCs w:val="24"/>
        </w:rPr>
      </w:pPr>
      <w:r w:rsidRPr="00531FBC">
        <w:rPr>
          <w:rFonts w:ascii="Times New Roman" w:hAnsi="Times New Roman" w:cs="Times New Roman"/>
          <w:sz w:val="24"/>
          <w:szCs w:val="24"/>
        </w:rPr>
        <w:t xml:space="preserve">KLASA:  402-07/25-01/4 </w:t>
      </w:r>
    </w:p>
    <w:p w14:paraId="5852F20E" w14:textId="77777777" w:rsidR="009568BF" w:rsidRPr="00531FBC" w:rsidRDefault="009568BF" w:rsidP="00531FBC">
      <w:pPr>
        <w:rPr>
          <w:rFonts w:ascii="Times New Roman" w:hAnsi="Times New Roman" w:cs="Times New Roman"/>
          <w:sz w:val="24"/>
          <w:szCs w:val="24"/>
        </w:rPr>
      </w:pPr>
      <w:r w:rsidRPr="00531FBC">
        <w:rPr>
          <w:rFonts w:ascii="Times New Roman" w:hAnsi="Times New Roman" w:cs="Times New Roman"/>
          <w:sz w:val="24"/>
          <w:szCs w:val="24"/>
        </w:rPr>
        <w:t>URBROJ: 2125-2-03-25-1</w:t>
      </w:r>
    </w:p>
    <w:p w14:paraId="28A68E6E" w14:textId="633B4863" w:rsidR="009568BF" w:rsidRPr="00531FBC" w:rsidRDefault="009568BF" w:rsidP="00531FBC">
      <w:pPr>
        <w:rPr>
          <w:rFonts w:ascii="Times New Roman" w:hAnsi="Times New Roman" w:cs="Times New Roman"/>
          <w:sz w:val="24"/>
          <w:szCs w:val="24"/>
        </w:rPr>
      </w:pPr>
      <w:r w:rsidRPr="00531FBC">
        <w:rPr>
          <w:rFonts w:ascii="Times New Roman" w:hAnsi="Times New Roman" w:cs="Times New Roman"/>
          <w:sz w:val="24"/>
          <w:szCs w:val="24"/>
        </w:rPr>
        <w:t>Otočac, 28.07.2025.</w:t>
      </w:r>
    </w:p>
    <w:p w14:paraId="18B2C8D0" w14:textId="77777777" w:rsidR="009568BF" w:rsidRPr="00531FBC" w:rsidRDefault="009568BF" w:rsidP="009568BF">
      <w:pPr>
        <w:ind w:firstLine="708"/>
        <w:jc w:val="right"/>
        <w:rPr>
          <w:rFonts w:ascii="Times New Roman" w:hAnsi="Times New Roman" w:cs="Times New Roman"/>
          <w:sz w:val="24"/>
          <w:szCs w:val="24"/>
        </w:rPr>
      </w:pPr>
    </w:p>
    <w:p w14:paraId="7A3F8149" w14:textId="77777777" w:rsidR="00531FBC" w:rsidRPr="00531FBC" w:rsidRDefault="00531FBC" w:rsidP="00531FBC">
      <w:pPr>
        <w:spacing w:after="4" w:line="220" w:lineRule="auto"/>
        <w:ind w:left="82" w:firstLine="626"/>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Na temelju članka 143. stavka 6. Zakona o odgoju i obrazovanju u osnovnoj i srednjoj školi (Narodne novine br. 87/08, 86/09, 92/10, 105/10, 90/1 1, 5/12, 16/12, 86/12, 94/13, 152/14, 07/17, 68/18, 98/19, 64/20, 151/22, 155/23 i 156/23) i članka 59. Statuta Grada Otočca (Službeni vjesnik Grada Otočca br. 9/21), Gradonačelnik Grada Otočca donosi sljedeću</w:t>
      </w:r>
    </w:p>
    <w:p w14:paraId="714FC6AD" w14:textId="77777777" w:rsidR="00531FBC" w:rsidRPr="00531FBC" w:rsidRDefault="00531FBC" w:rsidP="00531FBC">
      <w:pPr>
        <w:spacing w:after="4" w:line="220" w:lineRule="auto"/>
        <w:ind w:left="82" w:firstLine="626"/>
        <w:jc w:val="both"/>
        <w:rPr>
          <w:rFonts w:ascii="Times New Roman" w:eastAsia="Calibri" w:hAnsi="Times New Roman" w:cs="Times New Roman"/>
          <w:noProof w:val="0"/>
          <w:color w:val="000000"/>
          <w:kern w:val="2"/>
          <w:sz w:val="24"/>
          <w:szCs w:val="24"/>
          <w:lang w:eastAsia="hr-HR"/>
          <w14:ligatures w14:val="standardContextual"/>
        </w:rPr>
      </w:pPr>
    </w:p>
    <w:p w14:paraId="1C85D01D" w14:textId="77777777" w:rsidR="00531FBC" w:rsidRPr="00531FBC" w:rsidRDefault="00531FBC" w:rsidP="00531FBC">
      <w:pPr>
        <w:spacing w:line="216" w:lineRule="auto"/>
        <w:ind w:left="1118" w:right="1066" w:firstLine="239"/>
        <w:jc w:val="center"/>
        <w:rPr>
          <w:rFonts w:ascii="Times New Roman" w:eastAsia="Calibri" w:hAnsi="Times New Roman" w:cs="Times New Roman"/>
          <w:b/>
          <w:bCs/>
          <w:noProof w:val="0"/>
          <w:color w:val="000000"/>
          <w:kern w:val="2"/>
          <w:sz w:val="24"/>
          <w:szCs w:val="24"/>
          <w:lang w:eastAsia="hr-HR"/>
          <w14:ligatures w14:val="standardContextual"/>
        </w:rPr>
      </w:pPr>
      <w:r w:rsidRPr="00531FBC">
        <w:rPr>
          <w:rFonts w:ascii="Times New Roman" w:eastAsia="Calibri" w:hAnsi="Times New Roman" w:cs="Times New Roman"/>
          <w:b/>
          <w:bCs/>
          <w:noProof w:val="0"/>
          <w:color w:val="000000"/>
          <w:kern w:val="2"/>
          <w:sz w:val="24"/>
          <w:szCs w:val="24"/>
          <w:lang w:eastAsia="hr-HR"/>
          <w14:ligatures w14:val="standardContextual"/>
        </w:rPr>
        <w:t xml:space="preserve">ODLUKU </w:t>
      </w:r>
    </w:p>
    <w:p w14:paraId="548DA65A" w14:textId="77777777" w:rsidR="00531FBC" w:rsidRPr="00531FBC" w:rsidRDefault="00531FBC" w:rsidP="00531FBC">
      <w:pPr>
        <w:spacing w:line="216" w:lineRule="auto"/>
        <w:ind w:left="1118" w:right="1066" w:firstLine="239"/>
        <w:jc w:val="center"/>
        <w:rPr>
          <w:rFonts w:ascii="Times New Roman" w:eastAsia="Calibri" w:hAnsi="Times New Roman" w:cs="Times New Roman"/>
          <w:b/>
          <w:bCs/>
          <w:noProof w:val="0"/>
          <w:color w:val="000000"/>
          <w:kern w:val="2"/>
          <w:sz w:val="24"/>
          <w:szCs w:val="24"/>
          <w:lang w:eastAsia="hr-HR"/>
          <w14:ligatures w14:val="standardContextual"/>
        </w:rPr>
      </w:pPr>
      <w:r w:rsidRPr="00531FBC">
        <w:rPr>
          <w:rFonts w:ascii="Times New Roman" w:eastAsia="Calibri" w:hAnsi="Times New Roman" w:cs="Times New Roman"/>
          <w:b/>
          <w:bCs/>
          <w:noProof w:val="0"/>
          <w:color w:val="000000"/>
          <w:kern w:val="2"/>
          <w:sz w:val="24"/>
          <w:szCs w:val="24"/>
          <w:lang w:eastAsia="hr-HR"/>
          <w14:ligatures w14:val="standardContextual"/>
        </w:rPr>
        <w:t>o sufinanciranju troškova smještaja i prehrane učenika srednjih škola u učeničkim domovima za šk.</w:t>
      </w:r>
    </w:p>
    <w:p w14:paraId="59339EEA" w14:textId="77777777" w:rsidR="00531FBC" w:rsidRPr="00531FBC" w:rsidRDefault="00531FBC" w:rsidP="00531FBC">
      <w:pPr>
        <w:spacing w:line="216" w:lineRule="auto"/>
        <w:ind w:left="1118" w:right="1066" w:firstLine="239"/>
        <w:jc w:val="center"/>
        <w:rPr>
          <w:rFonts w:ascii="Times New Roman" w:eastAsia="Calibri" w:hAnsi="Times New Roman" w:cs="Times New Roman"/>
          <w:b/>
          <w:bCs/>
          <w:noProof w:val="0"/>
          <w:color w:val="000000"/>
          <w:kern w:val="2"/>
          <w:sz w:val="24"/>
          <w:szCs w:val="24"/>
          <w:lang w:eastAsia="hr-HR"/>
          <w14:ligatures w14:val="standardContextual"/>
        </w:rPr>
      </w:pPr>
      <w:r w:rsidRPr="00531FBC">
        <w:rPr>
          <w:rFonts w:ascii="Times New Roman" w:eastAsia="Calibri" w:hAnsi="Times New Roman" w:cs="Times New Roman"/>
          <w:b/>
          <w:bCs/>
          <w:noProof w:val="0"/>
          <w:color w:val="000000"/>
          <w:kern w:val="2"/>
          <w:sz w:val="24"/>
          <w:szCs w:val="24"/>
          <w:lang w:eastAsia="hr-HR"/>
          <w14:ligatures w14:val="standardContextual"/>
        </w:rPr>
        <w:t xml:space="preserve"> god. 2025./2026.</w:t>
      </w:r>
    </w:p>
    <w:p w14:paraId="2C645724" w14:textId="77777777" w:rsidR="00531FBC" w:rsidRPr="00531FBC" w:rsidRDefault="00531FBC" w:rsidP="00531FBC">
      <w:pPr>
        <w:spacing w:line="216" w:lineRule="auto"/>
        <w:ind w:left="1118" w:right="1066" w:firstLine="239"/>
        <w:jc w:val="center"/>
        <w:rPr>
          <w:rFonts w:ascii="Times New Roman" w:eastAsia="Calibri" w:hAnsi="Times New Roman" w:cs="Times New Roman"/>
          <w:b/>
          <w:bCs/>
          <w:noProof w:val="0"/>
          <w:color w:val="000000"/>
          <w:kern w:val="2"/>
          <w:sz w:val="24"/>
          <w:szCs w:val="24"/>
          <w:lang w:eastAsia="hr-HR"/>
          <w14:ligatures w14:val="standardContextual"/>
        </w:rPr>
      </w:pPr>
    </w:p>
    <w:p w14:paraId="206FDBA5" w14:textId="77777777" w:rsidR="00531FBC" w:rsidRPr="00531FBC" w:rsidRDefault="00531FBC" w:rsidP="00531FBC">
      <w:pPr>
        <w:spacing w:line="256" w:lineRule="auto"/>
        <w:ind w:left="3540" w:right="34" w:firstLine="708"/>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1 .</w:t>
      </w:r>
    </w:p>
    <w:p w14:paraId="7E49FB11" w14:textId="7454F207" w:rsidR="00531FBC" w:rsidRPr="00531FBC" w:rsidRDefault="00531FBC" w:rsidP="00531FBC">
      <w:pPr>
        <w:spacing w:after="4" w:line="220" w:lineRule="auto"/>
        <w:ind w:firstLine="708"/>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Ovom Odlukom utvrđuju se uvjeti i kriteriji za sufinanciranje troškova smještaja i prehrane u učeničkim domovima učenika srednjih škola s prebivalištem na području Grada Otočca za školsku godinu 2025./2026.</w:t>
      </w:r>
    </w:p>
    <w:p w14:paraId="7731A8DE" w14:textId="77777777" w:rsidR="00531FBC" w:rsidRPr="00531FBC" w:rsidRDefault="00531FBC" w:rsidP="00531FBC">
      <w:pPr>
        <w:spacing w:after="4" w:line="220" w:lineRule="auto"/>
        <w:ind w:firstLine="708"/>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Sufinanciranje troškova iz prethodnog stavka, vršit će se za razdoblje od mjeseca rujna 2025. godine do lipnja 2026. godine.</w:t>
      </w:r>
    </w:p>
    <w:p w14:paraId="472849DA" w14:textId="77777777" w:rsidR="00531FBC" w:rsidRPr="00531FBC" w:rsidRDefault="00531FBC" w:rsidP="00531FBC">
      <w:pPr>
        <w:spacing w:after="162" w:line="220" w:lineRule="auto"/>
        <w:ind w:firstLine="86"/>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ab/>
        <w:t>Izrazi koji se koriste u ovoj Odluci, a imaju rodno značenje, odnose se jednako na muški i ženski rod.</w:t>
      </w:r>
    </w:p>
    <w:p w14:paraId="6FA61E1D" w14:textId="77777777" w:rsidR="00531FBC" w:rsidRPr="00531FBC" w:rsidRDefault="00531FBC" w:rsidP="00531FBC">
      <w:pPr>
        <w:spacing w:line="256" w:lineRule="auto"/>
        <w:ind w:left="96" w:right="24"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2.</w:t>
      </w:r>
    </w:p>
    <w:p w14:paraId="52DE2A48" w14:textId="77777777" w:rsidR="00531FBC" w:rsidRPr="00531FBC" w:rsidRDefault="00531FBC" w:rsidP="00531FBC">
      <w:pPr>
        <w:spacing w:after="4" w:line="220" w:lineRule="auto"/>
        <w:ind w:left="91" w:firstLine="617"/>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Pravo na sufinanciranje troškova smještaja i prehrane u učeničkim domovima imaju učenici koji su u školskoj godini 2025./2026. upisali i redovito pohađaju srednju školu na području Republike Hrvatske, bez obzira na njihov socijalni status, pod uvjetima koji moraju biti ispunjeni kumulativno i to:</w:t>
      </w:r>
    </w:p>
    <w:p w14:paraId="3008EDCA" w14:textId="3E63E7BE" w:rsidR="00531FBC" w:rsidRPr="00531FBC" w:rsidRDefault="00531FBC" w:rsidP="00531FBC">
      <w:pPr>
        <w:numPr>
          <w:ilvl w:val="0"/>
          <w:numId w:val="1"/>
        </w:numPr>
        <w:spacing w:after="222" w:line="220" w:lineRule="auto"/>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da učenik ima prebivalište na području Grada Otočca i </w:t>
      </w:r>
    </w:p>
    <w:p w14:paraId="61972BDB" w14:textId="77777777" w:rsidR="00531FBC" w:rsidRPr="00531FBC" w:rsidRDefault="00531FBC" w:rsidP="00531FBC">
      <w:pPr>
        <w:numPr>
          <w:ilvl w:val="0"/>
          <w:numId w:val="1"/>
        </w:numPr>
        <w:spacing w:after="222" w:line="220" w:lineRule="auto"/>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da barem jedan od njegovih roditelja odnosno skrbnika ima prebivalište na području Grada Otočca na dan donošenja ove Odluke.</w:t>
      </w:r>
    </w:p>
    <w:p w14:paraId="5E7199CA" w14:textId="77777777" w:rsidR="00531FBC" w:rsidRPr="00531FBC" w:rsidRDefault="00531FBC" w:rsidP="00531FBC">
      <w:pPr>
        <w:spacing w:after="222" w:line="220" w:lineRule="auto"/>
        <w:ind w:left="1171"/>
        <w:contextualSpacing/>
        <w:jc w:val="both"/>
        <w:rPr>
          <w:rFonts w:ascii="Times New Roman" w:eastAsia="Calibri" w:hAnsi="Times New Roman" w:cs="Times New Roman"/>
          <w:noProof w:val="0"/>
          <w:color w:val="000000"/>
          <w:kern w:val="2"/>
          <w:sz w:val="24"/>
          <w:szCs w:val="24"/>
          <w:lang w:eastAsia="hr-HR"/>
          <w14:ligatures w14:val="standardContextual"/>
        </w:rPr>
      </w:pPr>
    </w:p>
    <w:p w14:paraId="7F7A69B7" w14:textId="77777777" w:rsidR="00531FBC" w:rsidRPr="00531FBC" w:rsidRDefault="00531FBC" w:rsidP="00531FBC">
      <w:pPr>
        <w:spacing w:line="256" w:lineRule="auto"/>
        <w:ind w:left="96" w:right="10"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3.</w:t>
      </w:r>
    </w:p>
    <w:p w14:paraId="163686AC" w14:textId="77777777" w:rsidR="00531FBC" w:rsidRPr="00531FBC" w:rsidRDefault="00531FBC" w:rsidP="00531FBC">
      <w:pPr>
        <w:spacing w:after="235" w:line="220" w:lineRule="auto"/>
        <w:ind w:left="96" w:firstLine="612"/>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Grad Otočac sudjeluje u podmirenju troškova smještaja i prehrane učenika srednjih škola u učeničkim domovima u iznosu od </w:t>
      </w:r>
      <w:r w:rsidRPr="00531FBC">
        <w:rPr>
          <w:rFonts w:ascii="Times New Roman" w:eastAsia="Calibri" w:hAnsi="Times New Roman" w:cs="Times New Roman"/>
          <w:noProof w:val="0"/>
          <w:kern w:val="2"/>
          <w:sz w:val="24"/>
          <w:szCs w:val="24"/>
          <w:lang w:eastAsia="hr-HR"/>
          <w14:ligatures w14:val="standardContextual"/>
        </w:rPr>
        <w:t xml:space="preserve">41,81 </w:t>
      </w:r>
      <w:r w:rsidRPr="00531FBC">
        <w:rPr>
          <w:rFonts w:ascii="Times New Roman" w:eastAsia="Calibri" w:hAnsi="Times New Roman" w:cs="Times New Roman"/>
          <w:noProof w:val="0"/>
          <w:color w:val="000000"/>
          <w:kern w:val="2"/>
          <w:sz w:val="24"/>
          <w:szCs w:val="24"/>
          <w:lang w:eastAsia="hr-HR"/>
          <w14:ligatures w14:val="standardContextual"/>
        </w:rPr>
        <w:t>eura mjesečno.</w:t>
      </w:r>
    </w:p>
    <w:p w14:paraId="44D92B42" w14:textId="77777777" w:rsidR="00531FBC" w:rsidRPr="00531FBC" w:rsidRDefault="00531FBC" w:rsidP="00531FBC">
      <w:pPr>
        <w:spacing w:line="256" w:lineRule="auto"/>
        <w:ind w:left="96"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4.</w:t>
      </w:r>
    </w:p>
    <w:p w14:paraId="5A5D5459" w14:textId="77777777" w:rsidR="00531FBC" w:rsidRPr="00531FBC" w:rsidRDefault="00531FBC" w:rsidP="00531FBC">
      <w:pPr>
        <w:spacing w:after="226" w:line="220" w:lineRule="auto"/>
        <w:ind w:left="96" w:firstLine="612"/>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Zahtjev za ostvarivanje prava na sufinanciranje troškova smještaja i prehrane u učeničkim domovima podnosi se Jedinstvenom upravnom odjelu Grada Otočca. Zahtjevi se zaprimaju zaključno </w:t>
      </w:r>
      <w:r w:rsidRPr="00531FBC">
        <w:rPr>
          <w:rFonts w:ascii="Times New Roman" w:eastAsia="Calibri" w:hAnsi="Times New Roman" w:cs="Times New Roman"/>
          <w:noProof w:val="0"/>
          <w:kern w:val="2"/>
          <w:sz w:val="24"/>
          <w:szCs w:val="24"/>
          <w:lang w:eastAsia="hr-HR"/>
          <w14:ligatures w14:val="standardContextual"/>
        </w:rPr>
        <w:t xml:space="preserve"> do 30. rujna 2025</w:t>
      </w:r>
      <w:r w:rsidRPr="00531FBC">
        <w:rPr>
          <w:rFonts w:ascii="Times New Roman" w:eastAsia="Calibri" w:hAnsi="Times New Roman" w:cs="Times New Roman"/>
          <w:noProof w:val="0"/>
          <w:color w:val="000000"/>
          <w:kern w:val="2"/>
          <w:sz w:val="24"/>
          <w:szCs w:val="24"/>
          <w:lang w:eastAsia="hr-HR"/>
          <w14:ligatures w14:val="standardContextual"/>
        </w:rPr>
        <w:t>. godine.</w:t>
      </w:r>
    </w:p>
    <w:p w14:paraId="4979BE36" w14:textId="77777777" w:rsidR="00531FBC" w:rsidRPr="00531FBC" w:rsidRDefault="00531FBC" w:rsidP="00531FBC">
      <w:pPr>
        <w:spacing w:after="4" w:line="220" w:lineRule="auto"/>
        <w:ind w:left="456" w:right="422" w:firstLine="9"/>
        <w:jc w:val="both"/>
        <w:rPr>
          <w:rFonts w:ascii="Times New Roman" w:eastAsia="Calibri" w:hAnsi="Times New Roman" w:cs="Times New Roman"/>
          <w:noProof w:val="0"/>
          <w:color w:val="000000"/>
          <w:kern w:val="2"/>
          <w:sz w:val="24"/>
          <w:szCs w:val="24"/>
          <w:u w:val="single" w:color="000000"/>
          <w:lang w:eastAsia="hr-HR"/>
          <w14:ligatures w14:val="standardContextual"/>
        </w:rPr>
      </w:pPr>
      <w:r w:rsidRPr="00531FBC">
        <w:rPr>
          <w:rFonts w:ascii="Times New Roman" w:eastAsia="Calibri" w:hAnsi="Times New Roman" w:cs="Times New Roman"/>
          <w:noProof w:val="0"/>
          <w:color w:val="000000"/>
          <w:kern w:val="2"/>
          <w:sz w:val="24"/>
          <w:szCs w:val="24"/>
          <w:u w:val="single" w:color="000000"/>
          <w:lang w:eastAsia="hr-HR"/>
          <w14:ligatures w14:val="standardContextual"/>
        </w:rPr>
        <w:t xml:space="preserve">Uz Zahtjev se prilaže sljedeća dokumentacija: </w:t>
      </w:r>
    </w:p>
    <w:p w14:paraId="5E82FC53"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potvrda o upisu učenika u srednju školu,</w:t>
      </w:r>
    </w:p>
    <w:p w14:paraId="6216ECC5"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 preslika ugovora o smještaju u dom,</w:t>
      </w:r>
    </w:p>
    <w:p w14:paraId="24861BA2"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 izjava da učenik ne ostvaruje drugu subvenciju,</w:t>
      </w:r>
    </w:p>
    <w:p w14:paraId="47DED611"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dokaz o prebivalištu učenika (preslika osobne iskaznice ili Uvjerenje  o prebivalištu),</w:t>
      </w:r>
    </w:p>
    <w:p w14:paraId="4AC71734"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dokaz o prebivalištu roditelja odnosno skrbnika,</w:t>
      </w:r>
    </w:p>
    <w:p w14:paraId="52D1F53D" w14:textId="77777777" w:rsidR="00531FBC" w:rsidRPr="00531FBC" w:rsidRDefault="00531FBC" w:rsidP="00531FBC">
      <w:pPr>
        <w:numPr>
          <w:ilvl w:val="0"/>
          <w:numId w:val="2"/>
        </w:numPr>
        <w:spacing w:after="4" w:line="220" w:lineRule="auto"/>
        <w:ind w:right="422"/>
        <w:contextualSpacing/>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preslika kartice žiro računa na ime učenika,</w:t>
      </w:r>
    </w:p>
    <w:p w14:paraId="5BBA0CB6" w14:textId="77777777" w:rsidR="00531FBC" w:rsidRPr="00531FBC" w:rsidRDefault="00531FBC" w:rsidP="00531FBC">
      <w:pPr>
        <w:spacing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Zahtjev iz prethodnog stavka ovog članka podnose roditelji/skrbnici učenika.</w:t>
      </w:r>
    </w:p>
    <w:p w14:paraId="0B867D02" w14:textId="77777777" w:rsidR="00531FBC" w:rsidRPr="00531FBC" w:rsidRDefault="00531FBC" w:rsidP="00531FBC">
      <w:pPr>
        <w:spacing w:line="220" w:lineRule="auto"/>
        <w:ind w:left="4" w:right="82"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lastRenderedPageBreak/>
        <w:t>Ukoliko učenik prekine školovanje ili smještaj u učeničkom domu, roditelji učenika dužni su o istom obavijestiti Jedinstveni upravni odjel Grada Otočca u roku osam dana od nastale promjene.</w:t>
      </w:r>
    </w:p>
    <w:p w14:paraId="417675DE" w14:textId="77777777" w:rsidR="00531FBC" w:rsidRPr="00531FBC" w:rsidRDefault="00531FBC" w:rsidP="00531FBC">
      <w:pPr>
        <w:spacing w:line="256" w:lineRule="auto"/>
        <w:ind w:left="96" w:right="173"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5.</w:t>
      </w:r>
    </w:p>
    <w:p w14:paraId="78948BB4" w14:textId="77777777" w:rsidR="00531FBC" w:rsidRPr="00531FBC" w:rsidRDefault="00531FBC" w:rsidP="00531FBC">
      <w:pPr>
        <w:spacing w:after="206"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Isplata subvencije troškova smještaja u učeničkim domovima srednjih škola, koji zadovoljavaju uvjete iz ove Odluke, izvršit će se na žiro račun učenika.</w:t>
      </w:r>
    </w:p>
    <w:p w14:paraId="75C07239" w14:textId="77777777" w:rsidR="00531FBC" w:rsidRPr="00531FBC" w:rsidRDefault="00531FBC" w:rsidP="00531FBC">
      <w:pPr>
        <w:spacing w:line="256" w:lineRule="auto"/>
        <w:ind w:left="96" w:right="173"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6.</w:t>
      </w:r>
    </w:p>
    <w:p w14:paraId="72EADC08" w14:textId="77777777" w:rsidR="00531FBC" w:rsidRPr="00531FBC" w:rsidRDefault="00531FBC" w:rsidP="00531FBC">
      <w:pPr>
        <w:spacing w:after="4"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Učenici koji su ostvarili pravo na sufinanciranje troškova smještaja i prehrane u učeničkim domovima po bilo kojoj drugoj osnovi, ne mogu to pravo ostvariti i od Grada Otočca.</w:t>
      </w:r>
    </w:p>
    <w:p w14:paraId="37080B54" w14:textId="77777777" w:rsidR="00531FBC" w:rsidRPr="00531FBC" w:rsidRDefault="00531FBC" w:rsidP="00531FBC">
      <w:pPr>
        <w:spacing w:after="4" w:line="220" w:lineRule="auto"/>
        <w:ind w:left="4" w:right="77"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Pravo na sufinanciranje po ovoj Odluci nemaju ni učenici ukoliko se utvrdi postojanje dugovanja bilo kojeg člana njegovog zajedničkog kućanstva, po bilo kojoj osnovi, prema Gradu Otočcu, do podmirenja ukupnog iznosa duga, osim ako je dužniku odobrena obročna </w:t>
      </w:r>
      <w:r w:rsidRPr="00531FBC">
        <w:rPr>
          <w:rFonts w:ascii="Times New Roman" w:eastAsia="Calibri" w:hAnsi="Times New Roman" w:cs="Times New Roman"/>
          <w:color w:val="000000"/>
          <w:kern w:val="2"/>
          <w:sz w:val="24"/>
          <w:szCs w:val="24"/>
          <w:lang w:eastAsia="hr-HR"/>
          <w14:ligatures w14:val="standardContextual"/>
        </w:rPr>
        <w:drawing>
          <wp:inline distT="0" distB="0" distL="0" distR="0" wp14:anchorId="21964267" wp14:editId="1C7E20FB">
            <wp:extent cx="9525" cy="9525"/>
            <wp:effectExtent l="0" t="0" r="0" b="0"/>
            <wp:docPr id="2" name="Picture 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31FBC">
        <w:rPr>
          <w:rFonts w:ascii="Times New Roman" w:eastAsia="Calibri" w:hAnsi="Times New Roman" w:cs="Times New Roman"/>
          <w:noProof w:val="0"/>
          <w:color w:val="000000"/>
          <w:kern w:val="2"/>
          <w:sz w:val="24"/>
          <w:szCs w:val="24"/>
          <w:lang w:eastAsia="hr-HR"/>
          <w14:ligatures w14:val="standardContextual"/>
        </w:rPr>
        <w:t>otplata duga.</w:t>
      </w:r>
    </w:p>
    <w:p w14:paraId="4AA7690F" w14:textId="77777777" w:rsidR="00531FBC" w:rsidRPr="00531FBC" w:rsidRDefault="00531FBC" w:rsidP="00531FBC">
      <w:pPr>
        <w:spacing w:after="205" w:line="220" w:lineRule="auto"/>
        <w:ind w:left="4" w:right="86"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Pravo na sufinanciranje po ovoj Odluci nemaju ni učenici kojima je sufinanciran trošak smještaja i prehrane srednjih škola u učeničkim domovima za šk. god. 2024./2025., a koji do dana isteka roka za podnošenje prijava na Javni poziv o sufinanciranju troškova smještaja i prehrane učenika srednjih škola u učeničkim domovima za šk. god. 2025./2026, nisu dostavili dokaze o namjenskom korištenju isplaćenih sredstava za šk. god. 2024./2025. Zahtjevi koji će bit podneseni nakon raspisanog vremenskog roka, neće se razmatrati.</w:t>
      </w:r>
    </w:p>
    <w:p w14:paraId="13765299" w14:textId="77777777" w:rsidR="00531FBC" w:rsidRPr="00531FBC" w:rsidRDefault="00531FBC" w:rsidP="00531FBC">
      <w:pPr>
        <w:spacing w:line="256" w:lineRule="auto"/>
        <w:ind w:left="96" w:right="192"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7.</w:t>
      </w:r>
    </w:p>
    <w:p w14:paraId="3D4B6B82" w14:textId="77777777" w:rsidR="00531FBC" w:rsidRPr="00531FBC" w:rsidRDefault="00531FBC" w:rsidP="00531FBC">
      <w:pPr>
        <w:spacing w:after="210"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Sredstva za sufinanciranje troškova smještaja i prehrane u učeničkim domovima osigurana su u Proračunu Grada Otočca.</w:t>
      </w:r>
    </w:p>
    <w:p w14:paraId="11682F59" w14:textId="77777777" w:rsidR="00531FBC" w:rsidRPr="00531FBC" w:rsidRDefault="00531FBC" w:rsidP="00531FBC">
      <w:pPr>
        <w:spacing w:line="256" w:lineRule="auto"/>
        <w:ind w:left="96" w:right="192"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8.</w:t>
      </w:r>
    </w:p>
    <w:p w14:paraId="64ED29FE" w14:textId="77777777" w:rsidR="00531FBC" w:rsidRPr="00531FBC" w:rsidRDefault="00531FBC" w:rsidP="00531FBC">
      <w:pPr>
        <w:spacing w:after="220"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Rješenje kojim se odlučuje o zahtjevu iz stavka 4. ovog članka donosi Jedinstveni upravni odjel Grada Otočca, temeljem ove Odluke.</w:t>
      </w:r>
    </w:p>
    <w:p w14:paraId="7970EC1B" w14:textId="77777777" w:rsidR="00531FBC" w:rsidRPr="00531FBC" w:rsidRDefault="00531FBC" w:rsidP="00531FBC">
      <w:pPr>
        <w:spacing w:line="256" w:lineRule="auto"/>
        <w:ind w:left="96" w:right="197"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9.</w:t>
      </w:r>
    </w:p>
    <w:p w14:paraId="7C1ECB28" w14:textId="77777777" w:rsidR="00531FBC" w:rsidRPr="00531FBC" w:rsidRDefault="00531FBC" w:rsidP="00531FBC">
      <w:pPr>
        <w:spacing w:after="4" w:line="220" w:lineRule="auto"/>
        <w:ind w:left="4" w:right="96"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Korisnik subvencije troškova smještaja u učeničkim domovima srednjih škola, dužan je na kraju školske godine dostaviti dokaze o uredno izvršenim uplatama prema učeničkom domu (bankovne izvode) ili Potvrdu učeničkog doma da za predmetnu školsku godinu nema dugovanja.</w:t>
      </w:r>
    </w:p>
    <w:p w14:paraId="4464A768" w14:textId="77777777" w:rsidR="00531FBC" w:rsidRPr="00531FBC" w:rsidRDefault="00531FBC" w:rsidP="00531FBC">
      <w:pPr>
        <w:spacing w:after="186"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Ne dostavljanje dokaza iz stavka 1. razlog su za odbijanje subvencije troškova smještaja u učeničkim domovima srednjih škola za narednu školsku godinu.</w:t>
      </w:r>
    </w:p>
    <w:p w14:paraId="64770D95" w14:textId="77777777" w:rsidR="00531FBC" w:rsidRPr="00531FBC" w:rsidRDefault="00531FBC" w:rsidP="00531FBC">
      <w:pPr>
        <w:spacing w:line="256" w:lineRule="auto"/>
        <w:ind w:left="96" w:right="197" w:hanging="10"/>
        <w:jc w:val="center"/>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Članak 10.</w:t>
      </w:r>
    </w:p>
    <w:p w14:paraId="4650EDF0" w14:textId="77777777" w:rsidR="00531FBC" w:rsidRPr="00531FBC" w:rsidRDefault="00531FBC" w:rsidP="00531FBC">
      <w:pPr>
        <w:spacing w:after="4" w:line="220" w:lineRule="auto"/>
        <w:ind w:left="4" w:firstLine="704"/>
        <w:jc w:val="both"/>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Ova Odluka objavit će se Službenom vjesniku Grada Otočca i na službenoj stranici Grada Otočca, a primjenjuje se od početka školske godine 2025./2026.</w:t>
      </w:r>
    </w:p>
    <w:p w14:paraId="29C4DDBD" w14:textId="77777777" w:rsidR="00531FBC" w:rsidRPr="00531FBC" w:rsidRDefault="00531FBC" w:rsidP="00531FBC">
      <w:pPr>
        <w:spacing w:line="256" w:lineRule="auto"/>
        <w:ind w:left="5050"/>
        <w:rPr>
          <w:rFonts w:ascii="Times New Roman" w:eastAsia="Calibri" w:hAnsi="Times New Roman" w:cs="Times New Roman"/>
          <w:noProof w:val="0"/>
          <w:color w:val="000000"/>
          <w:kern w:val="2"/>
          <w:sz w:val="24"/>
          <w:szCs w:val="24"/>
          <w:lang w:eastAsia="hr-HR"/>
          <w14:ligatures w14:val="standardContextual"/>
        </w:rPr>
      </w:pPr>
    </w:p>
    <w:p w14:paraId="007B756E" w14:textId="77777777" w:rsidR="00531FBC" w:rsidRPr="00531FBC" w:rsidRDefault="00531FBC" w:rsidP="00531FBC">
      <w:pPr>
        <w:spacing w:line="256" w:lineRule="auto"/>
        <w:ind w:left="5050"/>
        <w:rPr>
          <w:rFonts w:ascii="Times New Roman" w:eastAsia="Calibri" w:hAnsi="Times New Roman" w:cs="Times New Roman"/>
          <w:noProof w:val="0"/>
          <w:color w:val="000000"/>
          <w:kern w:val="2"/>
          <w:sz w:val="24"/>
          <w:szCs w:val="24"/>
          <w:lang w:eastAsia="hr-HR"/>
          <w14:ligatures w14:val="standardContextual"/>
        </w:rPr>
      </w:pPr>
    </w:p>
    <w:p w14:paraId="1B54A14E" w14:textId="6D8E09AA" w:rsidR="00531FBC" w:rsidRPr="00531FBC" w:rsidRDefault="00531FBC" w:rsidP="00531FBC">
      <w:pPr>
        <w:spacing w:line="256" w:lineRule="auto"/>
        <w:ind w:left="5050"/>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    </w:t>
      </w:r>
      <w:r>
        <w:rPr>
          <w:rFonts w:ascii="Times New Roman" w:eastAsia="Calibri" w:hAnsi="Times New Roman" w:cs="Times New Roman"/>
          <w:noProof w:val="0"/>
          <w:color w:val="000000"/>
          <w:kern w:val="2"/>
          <w:sz w:val="24"/>
          <w:szCs w:val="24"/>
          <w:lang w:eastAsia="hr-HR"/>
          <w14:ligatures w14:val="standardContextual"/>
        </w:rPr>
        <w:tab/>
      </w:r>
      <w:r w:rsidRPr="00531FBC">
        <w:rPr>
          <w:rFonts w:ascii="Times New Roman" w:eastAsia="Calibri" w:hAnsi="Times New Roman" w:cs="Times New Roman"/>
          <w:noProof w:val="0"/>
          <w:color w:val="000000"/>
          <w:kern w:val="2"/>
          <w:sz w:val="24"/>
          <w:szCs w:val="24"/>
          <w:lang w:eastAsia="hr-HR"/>
          <w14:ligatures w14:val="standardContextual"/>
        </w:rPr>
        <w:t xml:space="preserve"> </w:t>
      </w:r>
      <w:r>
        <w:rPr>
          <w:rFonts w:ascii="Times New Roman" w:eastAsia="Calibri" w:hAnsi="Times New Roman" w:cs="Times New Roman"/>
          <w:noProof w:val="0"/>
          <w:color w:val="000000"/>
          <w:kern w:val="2"/>
          <w:sz w:val="24"/>
          <w:szCs w:val="24"/>
          <w:lang w:eastAsia="hr-HR"/>
          <w14:ligatures w14:val="standardContextual"/>
        </w:rPr>
        <w:t xml:space="preserve">  </w:t>
      </w:r>
      <w:r w:rsidRPr="00531FBC">
        <w:rPr>
          <w:rFonts w:ascii="Times New Roman" w:eastAsia="Calibri" w:hAnsi="Times New Roman" w:cs="Times New Roman"/>
          <w:noProof w:val="0"/>
          <w:color w:val="000000"/>
          <w:kern w:val="2"/>
          <w:sz w:val="24"/>
          <w:szCs w:val="24"/>
          <w:lang w:eastAsia="hr-HR"/>
          <w14:ligatures w14:val="standardContextual"/>
        </w:rPr>
        <w:t xml:space="preserve"> Gradonačelnik</w:t>
      </w:r>
    </w:p>
    <w:p w14:paraId="18BCE47D" w14:textId="77777777" w:rsidR="00531FBC" w:rsidRPr="00531FBC" w:rsidRDefault="00531FBC" w:rsidP="00531FBC">
      <w:pPr>
        <w:spacing w:line="256" w:lineRule="auto"/>
        <w:ind w:left="5050" w:firstLine="614"/>
        <w:rPr>
          <w:rFonts w:ascii="Times New Roman" w:eastAsia="Calibri" w:hAnsi="Times New Roman" w:cs="Times New Roman"/>
          <w:noProof w:val="0"/>
          <w:color w:val="000000"/>
          <w:kern w:val="2"/>
          <w:sz w:val="24"/>
          <w:szCs w:val="24"/>
          <w:lang w:eastAsia="hr-HR"/>
          <w14:ligatures w14:val="standardContextual"/>
        </w:rPr>
      </w:pPr>
      <w:r w:rsidRPr="00531FBC">
        <w:rPr>
          <w:rFonts w:ascii="Times New Roman" w:eastAsia="Calibri" w:hAnsi="Times New Roman" w:cs="Times New Roman"/>
          <w:noProof w:val="0"/>
          <w:color w:val="000000"/>
          <w:kern w:val="2"/>
          <w:sz w:val="24"/>
          <w:szCs w:val="24"/>
          <w:lang w:eastAsia="hr-HR"/>
          <w14:ligatures w14:val="standardContextual"/>
        </w:rPr>
        <w:t xml:space="preserve">Goran Bukovac, </w:t>
      </w:r>
      <w:proofErr w:type="spellStart"/>
      <w:r w:rsidRPr="00531FBC">
        <w:rPr>
          <w:rFonts w:ascii="Times New Roman" w:eastAsia="Calibri" w:hAnsi="Times New Roman" w:cs="Times New Roman"/>
          <w:noProof w:val="0"/>
          <w:color w:val="000000"/>
          <w:kern w:val="2"/>
          <w:sz w:val="24"/>
          <w:szCs w:val="24"/>
          <w:lang w:eastAsia="hr-HR"/>
          <w14:ligatures w14:val="standardContextual"/>
        </w:rPr>
        <w:t>dipl.pol</w:t>
      </w:r>
      <w:proofErr w:type="spellEnd"/>
      <w:r w:rsidRPr="00531FBC">
        <w:rPr>
          <w:rFonts w:ascii="Times New Roman" w:eastAsia="Calibri" w:hAnsi="Times New Roman" w:cs="Times New Roman"/>
          <w:noProof w:val="0"/>
          <w:color w:val="000000"/>
          <w:kern w:val="2"/>
          <w:sz w:val="24"/>
          <w:szCs w:val="24"/>
          <w:lang w:eastAsia="hr-HR"/>
          <w14:ligatures w14:val="standardContextual"/>
        </w:rPr>
        <w:t xml:space="preserve">. </w:t>
      </w:r>
    </w:p>
    <w:p w14:paraId="05BD90D6" w14:textId="77777777" w:rsidR="009568BF" w:rsidRPr="00531FBC" w:rsidRDefault="009568BF" w:rsidP="00531FBC">
      <w:pPr>
        <w:rPr>
          <w:rFonts w:ascii="Times New Roman" w:hAnsi="Times New Roman" w:cs="Times New Roman"/>
          <w:sz w:val="24"/>
          <w:szCs w:val="24"/>
        </w:rPr>
      </w:pPr>
    </w:p>
    <w:p w14:paraId="546A0555" w14:textId="77777777" w:rsidR="009568BF" w:rsidRPr="00531FBC" w:rsidRDefault="009568BF" w:rsidP="009568BF">
      <w:pPr>
        <w:ind w:firstLine="708"/>
        <w:rPr>
          <w:rFonts w:ascii="Times New Roman" w:hAnsi="Times New Roman" w:cs="Times New Roman"/>
          <w:sz w:val="24"/>
          <w:szCs w:val="24"/>
        </w:rPr>
      </w:pPr>
    </w:p>
    <w:p w14:paraId="3A736AE4" w14:textId="77777777" w:rsidR="008A562A" w:rsidRPr="00531FBC" w:rsidRDefault="008A562A" w:rsidP="009568BF">
      <w:pPr>
        <w:ind w:firstLine="708"/>
        <w:rPr>
          <w:rFonts w:ascii="Times New Roman" w:hAnsi="Times New Roman" w:cs="Times New Roman"/>
          <w:sz w:val="24"/>
          <w:szCs w:val="24"/>
        </w:rPr>
      </w:pPr>
    </w:p>
    <w:sectPr w:rsidR="008A562A" w:rsidRPr="00531FB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5E0"/>
    <w:multiLevelType w:val="hybridMultilevel"/>
    <w:tmpl w:val="3ABE10EA"/>
    <w:lvl w:ilvl="0" w:tplc="D2E2A3E6">
      <w:start w:val="1"/>
      <w:numFmt w:val="bullet"/>
      <w:lvlText w:val=""/>
      <w:lvlJc w:val="left"/>
      <w:pPr>
        <w:ind w:left="1171"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8FF30F9"/>
    <w:multiLevelType w:val="hybridMultilevel"/>
    <w:tmpl w:val="F0849BF4"/>
    <w:lvl w:ilvl="0" w:tplc="D2E2A3E6">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Courier New"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Courier New"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Courier New" w:hint="default"/>
      </w:rPr>
    </w:lvl>
    <w:lvl w:ilvl="8" w:tplc="041A0005">
      <w:start w:val="1"/>
      <w:numFmt w:val="bullet"/>
      <w:lvlText w:val=""/>
      <w:lvlJc w:val="left"/>
      <w:pPr>
        <w:ind w:left="6945" w:hanging="360"/>
      </w:pPr>
      <w:rPr>
        <w:rFonts w:ascii="Wingdings" w:hAnsi="Wingdings" w:hint="default"/>
      </w:rPr>
    </w:lvl>
  </w:abstractNum>
  <w:num w:numId="1" w16cid:durableId="2104060865">
    <w:abstractNumId w:val="0"/>
  </w:num>
  <w:num w:numId="2" w16cid:durableId="152694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33F9"/>
    <w:rsid w:val="002120D1"/>
    <w:rsid w:val="00216344"/>
    <w:rsid w:val="00531FBC"/>
    <w:rsid w:val="005F3AA5"/>
    <w:rsid w:val="00615CFD"/>
    <w:rsid w:val="00620325"/>
    <w:rsid w:val="0068186E"/>
    <w:rsid w:val="00693AB1"/>
    <w:rsid w:val="00767F8A"/>
    <w:rsid w:val="008A562A"/>
    <w:rsid w:val="008C5FE5"/>
    <w:rsid w:val="009568BF"/>
    <w:rsid w:val="00A51B34"/>
    <w:rsid w:val="00A836D0"/>
    <w:rsid w:val="00AC35DA"/>
    <w:rsid w:val="00B92D0F"/>
    <w:rsid w:val="00BF2C07"/>
    <w:rsid w:val="00C9578C"/>
    <w:rsid w:val="00D67644"/>
    <w:rsid w:val="00D707B3"/>
    <w:rsid w:val="00E060DF"/>
    <w:rsid w:val="00E4322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4715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E1EE54-DB0A-4068-8ACE-E2D61A0EFE93}">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Grad Otočac</cp:lastModifiedBy>
  <cp:revision>2</cp:revision>
  <cp:lastPrinted>2014-11-26T14:09:00Z</cp:lastPrinted>
  <dcterms:created xsi:type="dcterms:W3CDTF">2025-07-29T06:03:00Z</dcterms:created>
  <dcterms:modified xsi:type="dcterms:W3CDTF">2025-07-29T06:03:00Z</dcterms:modified>
</cp:coreProperties>
</file>